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0"/>
      </w:pPr>
    </w:p>
    <w:p>
      <w:pPr>
        <w:jc w:val="center"/>
      </w:pPr>
      <w:r>
        <w:rPr>
          <w:rFonts w:ascii="Microsoft JhengHei" w:cs="Microsoft JhengHei" w:eastAsia="Microsoft JhengHei" w:hAnsi="Microsoft JhengHei"/>
          <w:b/>
          <w:bCs/>
          <w:i w:val="false"/>
          <w:iCs w:val="false"/>
          <w:color w:val="B8860B"/>
          <w:sz w:val="30"/>
          <w:szCs w:val="30"/>
        </w:rPr>
        <w:t>P N</w:t>
      </w:r>
    </w:p>
    <w:p>
      <w:pPr>
        <w:spacing w:after="0" w:before="120"/>
        <w:jc w:val="center"/>
      </w:pPr>
      <w:r>
        <w:rPr>
          <w:rFonts w:ascii="Microsoft JhengHei" w:cs="Microsoft JhengHei" w:eastAsia="Microsoft JhengHei" w:hAnsi="Microsoft JhengHei"/>
          <w:b/>
          <w:bCs/>
          <w:i w:val="false"/>
          <w:iCs w:val="false"/>
          <w:color w:val="B91C1C"/>
          <w:sz w:val="64"/>
          <w:szCs w:val="64"/>
        </w:rPr>
        <w:t xml:space="preserve">獎金制度精華</w:t>
      </w:r>
    </w:p>
    <w:p>
      <w:pPr>
        <w:spacing w:after="260" w:before="100"/>
        <w:jc w:val="center"/>
      </w:pPr>
      <w:r>
        <w:rPr>
          <w:rFonts w:ascii="Microsoft JhengHei" w:cs="Microsoft JhengHei" w:eastAsia="Microsoft JhengHei" w:hAnsi="Microsoft JhengHei"/>
          <w:b/>
          <w:bCs/>
          <w:i w:val="false"/>
          <w:iCs w:val="false"/>
          <w:color w:val="B8860B"/>
          <w:sz w:val="26"/>
          <w:szCs w:val="26"/>
        </w:rPr>
        <w:t xml:space="preserve">PN CHARITY MUTUAL AID</w:t>
      </w:r>
    </w:p>
    <w:p>
      <w:pPr>
        <w:pBdr>
          <w:top w:val="single" w:color="D4AF37" w:sz="8" w:space="8"/>
          <w:bottom w:val="single" w:color="D4AF37" w:sz="8" w:space="8"/>
        </w:pBdr>
        <w:spacing w:after="200" w:before="200"/>
        <w:jc w:val="center"/>
      </w:pPr>
      <w:r>
        <w:rPr>
          <w:rFonts w:ascii="Microsoft JhengHei" w:cs="Microsoft JhengHei" w:eastAsia="Microsoft JhengHei" w:hAnsi="Microsoft JhengHei"/>
          <w:b w:val="false"/>
          <w:bCs w:val="false"/>
          <w:i/>
          <w:iCs/>
          <w:color w:val="6B7280"/>
          <w:sz w:val="22"/>
          <w:szCs w:val="22"/>
        </w:rPr>
        <w:t xml:space="preserve">全球公排・二二複製・慈善互助・共創未來</w:t>
      </w:r>
    </w:p>
    <w:p>
      <w:pPr>
        <w:jc w:val="center"/>
      </w:pPr>
      <w:r>
        <w:rPr>
          <w:rFonts w:ascii="Microsoft JhengHei" w:cs="Microsoft JhengHei" w:eastAsia="Microsoft JhengHei" w:hAnsi="Microsoft JhengHei"/>
          <w:b/>
          <w:bCs/>
          <w:i w:val="false"/>
          <w:iCs w:val="false"/>
          <w:color w:val="7F1D1D"/>
          <w:sz w:val="22"/>
          <w:szCs w:val="22"/>
        </w:rPr>
        <w:t xml:space="preserve">六大重點一次看懂</w:t>
      </w:r>
    </w:p>
    <w:p>
      <w:pPr>
        <w:pageBreakBefore/>
      </w:pPr>
    </w:p>
    <w:p>
      <w:pPr>
        <w:pBdr>
          <w:bottom w:val="single" w:color="D4AF37" w:sz="12" w:space="4"/>
        </w:pBdr>
        <w:spacing w:after="200" w:before="480"/>
      </w:pPr>
      <w:r>
        <w:rPr>
          <w:rFonts w:ascii="Microsoft JhengHei" w:cs="Microsoft JhengHei" w:eastAsia="Microsoft JhengHei" w:hAnsi="Microsoft JhengHei"/>
          <w:b/>
          <w:bCs/>
          <w:i w:val="false"/>
          <w:iCs w:val="false"/>
          <w:color w:val="B8860B"/>
          <w:sz w:val="30"/>
          <w:szCs w:val="30"/>
        </w:rPr>
        <w:t xml:space="preserve">一、  </w:t>
      </w:r>
      <w:r>
        <w:rPr>
          <w:rFonts w:ascii="Microsoft JhengHei" w:cs="Microsoft JhengHei" w:eastAsia="Microsoft JhengHei" w:hAnsi="Microsoft JhengHei"/>
          <w:b/>
          <w:bCs/>
          <w:i w:val="false"/>
          <w:iCs w:val="false"/>
          <w:color w:val="B91C1C"/>
          <w:sz w:val="30"/>
          <w:szCs w:val="30"/>
        </w:rPr>
        <w:t xml:space="preserve">普通會員投資分配（100U）</w:t>
      </w:r>
    </w:p>
    <w:p>
      <w:pPr>
        <w:spacing w:after="160" w:line="340"/>
      </w:pPr>
      <w:r>
        <w:rPr>
          <w:rFonts w:ascii="Microsoft JhengHei" w:cs="Microsoft JhengHei" w:eastAsia="Microsoft JhengHei" w:hAnsi="Microsoft JhengHei"/>
          <w:b w:val="false"/>
          <w:bCs w:val="false"/>
          <w:i w:val="false"/>
          <w:iCs w:val="false"/>
          <w:color w:val="1F2937"/>
          <w:sz w:val="22"/>
          <w:szCs w:val="22"/>
        </w:rPr>
        <w:t xml:space="preserve">每筆100U初始參與款，按以下比例即時分配：</w:t>
      </w:r>
    </w:p>
    <w:tbl>
      <w:tblPr>
        <w:tblW w:type="dxa" w:w="14400"/>
        <w:tblBorders>
          <w:top w:val="single" w:sz="6" w:space="0" w:color="C98A2E"/>
          <w:left w:val="single" w:sz="6" w:space="0" w:color="C98A2E"/>
          <w:bottom w:val="single" w:sz="6" w:space="0" w:color="C98A2E"/>
          <w:right w:val="single" w:sz="6" w:space="0" w:color="C98A2E"/>
          <w:insideH w:val="single" w:sz="6" w:space="0" w:color="C98A2E"/>
          <w:insideV w:val="single" w:sz="6" w:space="0" w:color="C98A2E"/>
        </w:tblBorders>
      </w:tblPr>
      <w:tblGrid>
        <w:gridCol w:w="4800"/>
        <w:gridCol w:w="4800"/>
        <w:gridCol w:w="4800"/>
      </w:tblGrid>
      <w:tr>
        <w:trPr>
          <w:tblHeader/>
        </w:trPr>
        <w:tc>
          <w:tcPr>
            <w:tcW w:type="dxa" w:w="4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分配項目</w:t>
            </w:r>
          </w:p>
        </w:tc>
        <w:tc>
          <w:tcPr>
            <w:tcW w:type="dxa" w:w="4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比例</w:t>
            </w:r>
          </w:p>
        </w:tc>
        <w:tc>
          <w:tcPr>
            <w:tcW w:type="dxa" w:w="4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金額</w:t>
            </w:r>
          </w:p>
        </w:tc>
      </w:tr>
      <w:tr>
        <w:tc>
          <w:tcPr>
            <w:tcW w:type="dxa" w:w="4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21"/>
                <w:szCs w:val="21"/>
              </w:rPr>
              <w:t xml:space="preserve">直推獎</w:t>
            </w:r>
          </w:p>
        </w:tc>
        <w:tc>
          <w:tcPr>
            <w:tcW w:type="dxa" w:w="4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50%</w:t>
            </w:r>
          </w:p>
        </w:tc>
        <w:tc>
          <w:tcPr>
            <w:tcW w:type="dxa" w:w="4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50U</w:t>
            </w:r>
          </w:p>
        </w:tc>
      </w:tr>
      <w:tr>
        <w:tc>
          <w:tcPr>
            <w:tcW w:type="dxa" w:w="4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21"/>
                <w:szCs w:val="21"/>
              </w:rPr>
              <w:t xml:space="preserve">接點獎</w:t>
            </w:r>
          </w:p>
        </w:tc>
        <w:tc>
          <w:tcPr>
            <w:tcW w:type="dxa" w:w="4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30%</w:t>
            </w:r>
          </w:p>
        </w:tc>
        <w:tc>
          <w:tcPr>
            <w:tcW w:type="dxa" w:w="4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30U</w:t>
            </w:r>
          </w:p>
        </w:tc>
      </w:tr>
      <w:tr>
        <w:tc>
          <w:tcPr>
            <w:tcW w:type="dxa" w:w="4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21"/>
                <w:szCs w:val="21"/>
              </w:rPr>
              <w:t xml:space="preserve">VIP分紅</w:t>
            </w:r>
          </w:p>
        </w:tc>
        <w:tc>
          <w:tcPr>
            <w:tcW w:type="dxa" w:w="4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18%</w:t>
            </w:r>
          </w:p>
        </w:tc>
        <w:tc>
          <w:tcPr>
            <w:tcW w:type="dxa" w:w="4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18U</w:t>
            </w:r>
          </w:p>
        </w:tc>
      </w:tr>
      <w:tr>
        <w:tc>
          <w:tcPr>
            <w:tcW w:type="dxa" w:w="4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21"/>
                <w:szCs w:val="21"/>
              </w:rPr>
              <w:t xml:space="preserve">營運</w:t>
            </w:r>
          </w:p>
        </w:tc>
        <w:tc>
          <w:tcPr>
            <w:tcW w:type="dxa" w:w="4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2%</w:t>
            </w:r>
          </w:p>
        </w:tc>
        <w:tc>
          <w:tcPr>
            <w:tcW w:type="dxa" w:w="4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2U</w:t>
            </w:r>
          </w:p>
        </w:tc>
      </w:tr>
      <w:tr>
        <w:tc>
          <w:tcPr>
            <w:tcW w:type="dxa" w:w="4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5CD79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5A3A05"/>
                <w:sz w:val="21"/>
                <w:szCs w:val="21"/>
              </w:rPr>
              <w:t xml:space="preserve">合計</w:t>
            </w:r>
          </w:p>
        </w:tc>
        <w:tc>
          <w:tcPr>
            <w:tcW w:type="dxa" w:w="4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5CD79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5A3A05"/>
                <w:sz w:val="21"/>
                <w:szCs w:val="21"/>
              </w:rPr>
              <w:t xml:space="preserve">100%</w:t>
            </w:r>
          </w:p>
        </w:tc>
        <w:tc>
          <w:tcPr>
            <w:tcW w:type="dxa" w:w="4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5CD79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5A3A05"/>
                <w:sz w:val="21"/>
                <w:szCs w:val="21"/>
              </w:rPr>
              <w:t xml:space="preserve">100U</w:t>
            </w:r>
          </w:p>
        </w:tc>
      </w:tr>
    </w:tbl>
    <w:p>
      <w:pPr>
        <w:pBdr>
          <w:bottom w:val="single" w:color="D4AF37" w:sz="12" w:space="4"/>
        </w:pBdr>
        <w:spacing w:after="200" w:before="480"/>
      </w:pPr>
      <w:r>
        <w:rPr>
          <w:rFonts w:ascii="Microsoft JhengHei" w:cs="Microsoft JhengHei" w:eastAsia="Microsoft JhengHei" w:hAnsi="Microsoft JhengHei"/>
          <w:b/>
          <w:bCs/>
          <w:i w:val="false"/>
          <w:iCs w:val="false"/>
          <w:color w:val="B8860B"/>
          <w:sz w:val="30"/>
          <w:szCs w:val="30"/>
        </w:rPr>
        <w:t xml:space="preserve">二、  </w:t>
      </w:r>
      <w:r>
        <w:rPr>
          <w:rFonts w:ascii="Microsoft JhengHei" w:cs="Microsoft JhengHei" w:eastAsia="Microsoft JhengHei" w:hAnsi="Microsoft JhengHei"/>
          <w:b/>
          <w:bCs/>
          <w:i w:val="false"/>
          <w:iCs w:val="false"/>
          <w:color w:val="B91C1C"/>
          <w:sz w:val="30"/>
          <w:szCs w:val="30"/>
        </w:rPr>
        <w:t>PN幣產出分配（總量制）</w:t>
      </w:r>
    </w:p>
    <w:p>
      <w:pPr>
        <w:spacing w:after="160" w:line="340"/>
      </w:pPr>
      <w:r>
        <w:rPr>
          <w:rFonts w:ascii="Microsoft JhengHei" w:cs="Microsoft JhengHei" w:eastAsia="Microsoft JhengHei" w:hAnsi="Microsoft JhengHei"/>
          <w:b w:val="false"/>
          <w:bCs w:val="false"/>
          <w:i w:val="false"/>
          <w:iCs w:val="false"/>
          <w:color w:val="1F2937"/>
          <w:sz w:val="22"/>
          <w:szCs w:val="22"/>
        </w:rPr>
        <w:t>PN幣總量一次性產出1,000,000枚，分配如下：</w:t>
      </w:r>
    </w:p>
    <w:tbl>
      <w:tblPr>
        <w:tblW w:type="dxa" w:w="14400"/>
        <w:tblBorders>
          <w:top w:val="single" w:sz="6" w:space="0" w:color="C98A2E"/>
          <w:left w:val="single" w:sz="6" w:space="0" w:color="C98A2E"/>
          <w:bottom w:val="single" w:sz="6" w:space="0" w:color="C98A2E"/>
          <w:right w:val="single" w:sz="6" w:space="0" w:color="C98A2E"/>
          <w:insideH w:val="single" w:sz="6" w:space="0" w:color="C98A2E"/>
          <w:insideV w:val="single" w:sz="6" w:space="0" w:color="C98A2E"/>
        </w:tblBorders>
      </w:tblPr>
      <w:tblGrid>
        <w:gridCol w:w="4800"/>
        <w:gridCol w:w="4800"/>
        <w:gridCol w:w="4800"/>
      </w:tblGrid>
      <w:tr>
        <w:trPr>
          <w:tblHeader/>
        </w:trPr>
        <w:tc>
          <w:tcPr>
            <w:tcW w:type="dxa" w:w="4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分配對象</w:t>
            </w:r>
          </w:p>
        </w:tc>
        <w:tc>
          <w:tcPr>
            <w:tcW w:type="dxa" w:w="4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比例</w:t>
            </w:r>
          </w:p>
        </w:tc>
        <w:tc>
          <w:tcPr>
            <w:tcW w:type="dxa" w:w="4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數量</w:t>
            </w:r>
          </w:p>
        </w:tc>
      </w:tr>
      <w:tr>
        <w:tc>
          <w:tcPr>
            <w:tcW w:type="dxa" w:w="4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21"/>
                <w:szCs w:val="21"/>
              </w:rPr>
              <w:t xml:space="preserve">運營方（一次性產出）</w:t>
            </w:r>
          </w:p>
        </w:tc>
        <w:tc>
          <w:tcPr>
            <w:tcW w:type="dxa" w:w="4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10%</w:t>
            </w:r>
          </w:p>
        </w:tc>
        <w:tc>
          <w:tcPr>
            <w:tcW w:type="dxa" w:w="4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100,000枚</w:t>
            </w:r>
          </w:p>
        </w:tc>
      </w:tr>
      <w:tr>
        <w:tc>
          <w:tcPr>
            <w:tcW w:type="dxa" w:w="4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21"/>
                <w:szCs w:val="21"/>
              </w:rPr>
              <w:t xml:space="preserve">入金會員（依入金順序分配，每入金100美金發放100枚，分完為止）</w:t>
            </w:r>
          </w:p>
        </w:tc>
        <w:tc>
          <w:tcPr>
            <w:tcW w:type="dxa" w:w="4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90%</w:t>
            </w:r>
          </w:p>
        </w:tc>
        <w:tc>
          <w:tcPr>
            <w:tcW w:type="dxa" w:w="4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900,000枚</w:t>
            </w:r>
          </w:p>
        </w:tc>
      </w:tr>
      <w:tr>
        <w:tc>
          <w:tcPr>
            <w:tcW w:type="dxa" w:w="4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5CD79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5A3A05"/>
                <w:sz w:val="21"/>
                <w:szCs w:val="21"/>
              </w:rPr>
              <w:t xml:space="preserve">合計</w:t>
            </w:r>
          </w:p>
        </w:tc>
        <w:tc>
          <w:tcPr>
            <w:tcW w:type="dxa" w:w="4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5CD79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5A3A05"/>
                <w:sz w:val="21"/>
                <w:szCs w:val="21"/>
              </w:rPr>
              <w:t xml:space="preserve">100%</w:t>
            </w:r>
          </w:p>
        </w:tc>
        <w:tc>
          <w:tcPr>
            <w:tcW w:type="dxa" w:w="4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5CD79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5A3A05"/>
                <w:sz w:val="21"/>
                <w:szCs w:val="21"/>
              </w:rPr>
              <w:t xml:space="preserve">1,000,000枚</w:t>
            </w:r>
          </w:p>
        </w:tc>
      </w:tr>
    </w:tbl>
    <w:p>
      <w:pPr>
        <w:spacing w:after="220" w:before="120"/>
      </w:pPr>
      <w:r>
        <w:rPr>
          <w:rFonts w:ascii="Microsoft JhengHei" w:cs="Microsoft JhengHei" w:eastAsia="Microsoft JhengHei" w:hAnsi="Microsoft JhengHei"/>
          <w:b w:val="false"/>
          <w:bCs w:val="false"/>
          <w:i/>
          <w:iCs/>
          <w:color w:val="6B7280"/>
          <w:sz w:val="20"/>
          <w:szCs w:val="20"/>
        </w:rPr>
        <w:t>分配規則：依會員入金時間先後順序，每筆100U入金發放100枚PN幣，900,000枚分完即停止發放，不再持續產出。</w:t>
      </w:r>
    </w:p>
    <w:p>
      <w:pPr>
        <w:pBdr>
          <w:bottom w:val="single" w:color="D4AF37" w:sz="12" w:space="4"/>
        </w:pBdr>
        <w:spacing w:after="200" w:before="480"/>
      </w:pPr>
      <w:r>
        <w:rPr>
          <w:rFonts w:ascii="Microsoft JhengHei" w:cs="Microsoft JhengHei" w:eastAsia="Microsoft JhengHei" w:hAnsi="Microsoft JhengHei"/>
          <w:b/>
          <w:bCs/>
          <w:i w:val="false"/>
          <w:iCs w:val="false"/>
          <w:color w:val="B8860B"/>
          <w:sz w:val="30"/>
          <w:szCs w:val="30"/>
        </w:rPr>
        <w:t xml:space="preserve">三、  </w:t>
      </w:r>
      <w:r>
        <w:rPr>
          <w:rFonts w:ascii="Microsoft JhengHei" w:cs="Microsoft JhengHei" w:eastAsia="Microsoft JhengHei" w:hAnsi="Microsoft JhengHei"/>
          <w:b/>
          <w:bCs/>
          <w:i w:val="false"/>
          <w:iCs w:val="false"/>
          <w:color w:val="B91C1C"/>
          <w:sz w:val="30"/>
          <w:szCs w:val="30"/>
        </w:rPr>
        <w:t xml:space="preserve">PN0–PN20升級表</w:t>
      </w:r>
    </w:p>
    <w:p>
      <w:pPr>
        <w:spacing w:after="160" w:line="340"/>
      </w:pPr>
      <w:r>
        <w:rPr>
          <w:rFonts w:ascii="Microsoft JhengHei" w:cs="Microsoft JhengHei" w:eastAsia="Microsoft JhengHei" w:hAnsi="Microsoft JhengHei"/>
          <w:b/>
          <w:bCs/>
          <w:i w:val="false"/>
          <w:iCs w:val="false"/>
          <w:color w:val="1F2937"/>
          <w:sz w:val="22"/>
          <w:szCs w:val="22"/>
        </w:rPr>
        <w:t xml:space="preserve">PN20為制度目前定案之封頂級別，不再預留下一級升級款。</w:t>
      </w:r>
    </w:p>
    <w:p>
      <w:pPr>
        <w:spacing w:after="160" w:line="340"/>
      </w:pPr>
      <w:r>
        <w:rPr>
          <w:rFonts w:ascii="Microsoft JhengHei" w:cs="Microsoft JhengHei" w:eastAsia="Microsoft JhengHei" w:hAnsi="Microsoft JhengHei"/>
          <w:b w:val="false"/>
          <w:bCs w:val="false"/>
          <w:i w:val="false"/>
          <w:iCs w:val="false"/>
          <w:color w:val="1F2937"/>
          <w:sz w:val="22"/>
          <w:szCs w:val="22"/>
        </w:rPr>
        <w:t xml:space="preserve">自PN4起，本級可提現收入須先提取20%進入L1B領導人每日分紅池，其餘部分為會員本級淨可提現收入；PN0–PN3不適用此項提取，本級可提現即為淨可提現。累計可提現為歷級本級淨可提現逐級加總之數。</w:t>
      </w:r>
    </w:p>
    <w:p>
      <w:pPr>
        <w:spacing w:after="160" w:line="340"/>
      </w:pPr>
      <w:r>
        <w:rPr>
          <w:rFonts w:ascii="Microsoft JhengHei" w:cs="Microsoft JhengHei" w:eastAsia="Microsoft JhengHei" w:hAnsi="Microsoft JhengHei"/>
          <w:b w:val="false"/>
          <w:bCs w:val="false"/>
          <w:i w:val="false"/>
          <w:iCs w:val="false"/>
          <w:color w:val="1F2937"/>
          <w:sz w:val="22"/>
          <w:szCs w:val="22"/>
        </w:rPr>
        <w:t xml:space="preserve">新增欄位說明：本層新增人數＝每3個同級有效位置產生1個上一級，故每層所需新增人數＝3的PN次方；有效人數累計則為逐層加總（並計入起始1位會員）。</w:t>
      </w:r>
    </w:p>
    <w:tbl>
      <w:tblPr>
        <w:tblW w:type="dxa" w:w="14400"/>
        <w:tblBorders>
          <w:top w:val="single" w:sz="6" w:space="0" w:color="C98A2E"/>
          <w:left w:val="single" w:sz="6" w:space="0" w:color="C98A2E"/>
          <w:bottom w:val="single" w:sz="6" w:space="0" w:color="C98A2E"/>
          <w:right w:val="single" w:sz="6" w:space="0" w:color="C98A2E"/>
          <w:insideH w:val="single" w:sz="6" w:space="0" w:color="C98A2E"/>
          <w:insideV w:val="single" w:sz="6" w:space="0" w:color="C98A2E"/>
        </w:tblBorders>
      </w:tblPr>
      <w:tblGrid>
        <w:gridCol w:w="900"/>
        <w:gridCol w:w="1150"/>
        <w:gridCol w:w="1100"/>
        <w:gridCol w:w="1050"/>
        <w:gridCol w:w="1050"/>
        <w:gridCol w:w="1050"/>
        <w:gridCol w:w="1250"/>
        <w:gridCol w:w="1250"/>
        <w:gridCol w:w="1250"/>
        <w:gridCol w:w="2100"/>
        <w:gridCol w:w="2250"/>
      </w:tblGrid>
      <w:tr>
        <w:trPr>
          <w:tblHeader/>
        </w:trPr>
        <w:tc>
          <w:tcPr>
            <w:tcW w:type="dxa" w:w="9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17"/>
                <w:szCs w:val="17"/>
              </w:rPr>
              <w:t xml:space="preserve">級別</w:t>
            </w:r>
          </w:p>
        </w:tc>
        <w:tc>
          <w:tcPr>
            <w:tcW w:type="dxa" w:w="1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17"/>
                <w:szCs w:val="17"/>
              </w:rPr>
              <w:t xml:space="preserve">本級升級款</w:t>
            </w:r>
          </w:p>
        </w:tc>
        <w:tc>
          <w:tcPr>
            <w:tcW w:type="dxa" w:w="1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17"/>
                <w:szCs w:val="17"/>
              </w:rPr>
              <w:t xml:space="preserve">三筆總額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17"/>
                <w:szCs w:val="17"/>
              </w:rPr>
              <w:t xml:space="preserve">收入90%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17"/>
                <w:szCs w:val="17"/>
              </w:rPr>
              <w:t xml:space="preserve">下一級預留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17"/>
                <w:szCs w:val="17"/>
              </w:rPr>
              <w:t xml:space="preserve">本級可提現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17"/>
                <w:szCs w:val="17"/>
              </w:rPr>
              <w:t xml:space="preserve">L領導層提取20%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17"/>
                <w:szCs w:val="17"/>
              </w:rPr>
              <w:t xml:space="preserve">本級淨可提現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17"/>
                <w:szCs w:val="17"/>
              </w:rPr>
              <w:t xml:space="preserve">累計可提現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17"/>
                <w:szCs w:val="17"/>
              </w:rPr>
              <w:t xml:space="preserve">本層新增人數</w:t>
            </w:r>
          </w:p>
        </w:tc>
        <w:tc>
          <w:tcPr>
            <w:tcW w:type="dxa" w:w="2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17"/>
                <w:szCs w:val="17"/>
              </w:rPr>
              <w:t xml:space="preserve">有效人數累計</w:t>
            </w:r>
          </w:p>
        </w:tc>
      </w:tr>
      <w:tr>
        <w:tc>
          <w:tcPr>
            <w:tcW w:type="dxa" w:w="9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6"/>
                <w:szCs w:val="16"/>
              </w:rPr>
              <w:t xml:space="preserve">PN0</w:t>
            </w:r>
          </w:p>
        </w:tc>
        <w:tc>
          <w:tcPr>
            <w:tcW w:type="dxa" w:w="1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50</w:t>
            </w:r>
          </w:p>
        </w:tc>
        <w:tc>
          <w:tcPr>
            <w:tcW w:type="dxa" w:w="1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—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—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—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—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—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—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—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</w:t>
            </w:r>
          </w:p>
        </w:tc>
        <w:tc>
          <w:tcPr>
            <w:tcW w:type="dxa" w:w="2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</w:t>
            </w:r>
          </w:p>
        </w:tc>
      </w:tr>
      <w:tr>
        <w:tc>
          <w:tcPr>
            <w:tcW w:type="dxa" w:w="9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6"/>
                <w:szCs w:val="16"/>
              </w:rPr>
              <w:t xml:space="preserve">PN1</w:t>
            </w:r>
          </w:p>
        </w:tc>
        <w:tc>
          <w:tcPr>
            <w:tcW w:type="dxa" w:w="1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100</w:t>
            </w:r>
          </w:p>
        </w:tc>
        <w:tc>
          <w:tcPr>
            <w:tcW w:type="dxa" w:w="1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300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270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200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70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—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70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70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3</w:t>
            </w:r>
          </w:p>
        </w:tc>
        <w:tc>
          <w:tcPr>
            <w:tcW w:type="dxa" w:w="2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4</w:t>
            </w:r>
          </w:p>
        </w:tc>
      </w:tr>
      <w:tr>
        <w:tc>
          <w:tcPr>
            <w:tcW w:type="dxa" w:w="9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6"/>
                <w:szCs w:val="16"/>
              </w:rPr>
              <w:t xml:space="preserve">PN2</w:t>
            </w:r>
          </w:p>
        </w:tc>
        <w:tc>
          <w:tcPr>
            <w:tcW w:type="dxa" w:w="1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200</w:t>
            </w:r>
          </w:p>
        </w:tc>
        <w:tc>
          <w:tcPr>
            <w:tcW w:type="dxa" w:w="1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600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540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400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140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—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140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210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9</w:t>
            </w:r>
          </w:p>
        </w:tc>
        <w:tc>
          <w:tcPr>
            <w:tcW w:type="dxa" w:w="2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13</w:t>
            </w:r>
          </w:p>
        </w:tc>
      </w:tr>
      <w:tr>
        <w:tc>
          <w:tcPr>
            <w:tcW w:type="dxa" w:w="9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6"/>
                <w:szCs w:val="16"/>
              </w:rPr>
              <w:t xml:space="preserve">PN3</w:t>
            </w:r>
          </w:p>
        </w:tc>
        <w:tc>
          <w:tcPr>
            <w:tcW w:type="dxa" w:w="1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400</w:t>
            </w:r>
          </w:p>
        </w:tc>
        <w:tc>
          <w:tcPr>
            <w:tcW w:type="dxa" w:w="1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1,200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1,080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600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480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—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480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690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27</w:t>
            </w:r>
          </w:p>
        </w:tc>
        <w:tc>
          <w:tcPr>
            <w:tcW w:type="dxa" w:w="2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40</w:t>
            </w:r>
          </w:p>
        </w:tc>
      </w:tr>
      <w:tr>
        <w:tc>
          <w:tcPr>
            <w:tcW w:type="dxa" w:w="9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6"/>
                <w:szCs w:val="16"/>
              </w:rPr>
              <w:t xml:space="preserve">PN4</w:t>
            </w:r>
          </w:p>
        </w:tc>
        <w:tc>
          <w:tcPr>
            <w:tcW w:type="dxa" w:w="1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600</w:t>
            </w:r>
          </w:p>
        </w:tc>
        <w:tc>
          <w:tcPr>
            <w:tcW w:type="dxa" w:w="1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1,800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1,620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620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124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496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1,186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81</w:t>
            </w:r>
          </w:p>
        </w:tc>
        <w:tc>
          <w:tcPr>
            <w:tcW w:type="dxa" w:w="2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121</w:t>
            </w:r>
          </w:p>
        </w:tc>
      </w:tr>
      <w:tr>
        <w:tc>
          <w:tcPr>
            <w:tcW w:type="dxa" w:w="9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6"/>
                <w:szCs w:val="16"/>
              </w:rPr>
              <w:t xml:space="preserve">PN5</w:t>
            </w:r>
          </w:p>
        </w:tc>
        <w:tc>
          <w:tcPr>
            <w:tcW w:type="dxa" w:w="1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1,000</w:t>
            </w:r>
          </w:p>
        </w:tc>
        <w:tc>
          <w:tcPr>
            <w:tcW w:type="dxa" w:w="1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3,000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2,700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1,500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1,200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240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960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2,146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243</w:t>
            </w:r>
          </w:p>
        </w:tc>
        <w:tc>
          <w:tcPr>
            <w:tcW w:type="dxa" w:w="2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364</w:t>
            </w:r>
          </w:p>
        </w:tc>
      </w:tr>
      <w:tr>
        <w:tc>
          <w:tcPr>
            <w:tcW w:type="dxa" w:w="9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6"/>
                <w:szCs w:val="16"/>
              </w:rPr>
              <w:t xml:space="preserve">PN6</w:t>
            </w:r>
          </w:p>
        </w:tc>
        <w:tc>
          <w:tcPr>
            <w:tcW w:type="dxa" w:w="1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1,500</w:t>
            </w:r>
          </w:p>
        </w:tc>
        <w:tc>
          <w:tcPr>
            <w:tcW w:type="dxa" w:w="1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4,500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4,050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2,500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1,550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310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1,240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3,386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729</w:t>
            </w:r>
          </w:p>
        </w:tc>
        <w:tc>
          <w:tcPr>
            <w:tcW w:type="dxa" w:w="2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1,093</w:t>
            </w:r>
          </w:p>
        </w:tc>
      </w:tr>
      <w:tr>
        <w:tc>
          <w:tcPr>
            <w:tcW w:type="dxa" w:w="9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6"/>
                <w:szCs w:val="16"/>
              </w:rPr>
              <w:t xml:space="preserve">PN7</w:t>
            </w:r>
          </w:p>
        </w:tc>
        <w:tc>
          <w:tcPr>
            <w:tcW w:type="dxa" w:w="1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2,500</w:t>
            </w:r>
          </w:p>
        </w:tc>
        <w:tc>
          <w:tcPr>
            <w:tcW w:type="dxa" w:w="1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7,500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6,750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4,000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2,750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550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2,200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5,586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2,187</w:t>
            </w:r>
          </w:p>
        </w:tc>
        <w:tc>
          <w:tcPr>
            <w:tcW w:type="dxa" w:w="2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3,280</w:t>
            </w:r>
          </w:p>
        </w:tc>
      </w:tr>
      <w:tr>
        <w:tc>
          <w:tcPr>
            <w:tcW w:type="dxa" w:w="9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6"/>
                <w:szCs w:val="16"/>
              </w:rPr>
              <w:t xml:space="preserve">PN8</w:t>
            </w:r>
          </w:p>
        </w:tc>
        <w:tc>
          <w:tcPr>
            <w:tcW w:type="dxa" w:w="1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4,000</w:t>
            </w:r>
          </w:p>
        </w:tc>
        <w:tc>
          <w:tcPr>
            <w:tcW w:type="dxa" w:w="1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12,000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10,800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6,500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4,300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860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3,440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9,026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6,561</w:t>
            </w:r>
          </w:p>
        </w:tc>
        <w:tc>
          <w:tcPr>
            <w:tcW w:type="dxa" w:w="2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9,841</w:t>
            </w:r>
          </w:p>
        </w:tc>
      </w:tr>
      <w:tr>
        <w:tc>
          <w:tcPr>
            <w:tcW w:type="dxa" w:w="9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6"/>
                <w:szCs w:val="16"/>
              </w:rPr>
              <w:t xml:space="preserve">PN9</w:t>
            </w:r>
          </w:p>
        </w:tc>
        <w:tc>
          <w:tcPr>
            <w:tcW w:type="dxa" w:w="1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6,500</w:t>
            </w:r>
          </w:p>
        </w:tc>
        <w:tc>
          <w:tcPr>
            <w:tcW w:type="dxa" w:w="1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19,500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17,550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10,000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7,550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1,510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6,040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15,066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19,683</w:t>
            </w:r>
          </w:p>
        </w:tc>
        <w:tc>
          <w:tcPr>
            <w:tcW w:type="dxa" w:w="2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29,524</w:t>
            </w:r>
          </w:p>
        </w:tc>
      </w:tr>
      <w:tr>
        <w:tc>
          <w:tcPr>
            <w:tcW w:type="dxa" w:w="9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6"/>
                <w:szCs w:val="16"/>
              </w:rPr>
              <w:t xml:space="preserve">PN10</w:t>
            </w:r>
          </w:p>
        </w:tc>
        <w:tc>
          <w:tcPr>
            <w:tcW w:type="dxa" w:w="1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10,000</w:t>
            </w:r>
          </w:p>
        </w:tc>
        <w:tc>
          <w:tcPr>
            <w:tcW w:type="dxa" w:w="1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30,000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27,000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15,000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12,000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2,400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9,600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24,666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59,049</w:t>
            </w:r>
          </w:p>
        </w:tc>
        <w:tc>
          <w:tcPr>
            <w:tcW w:type="dxa" w:w="2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88,573</w:t>
            </w:r>
          </w:p>
        </w:tc>
      </w:tr>
      <w:tr>
        <w:tc>
          <w:tcPr>
            <w:tcW w:type="dxa" w:w="9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6"/>
                <w:szCs w:val="16"/>
              </w:rPr>
              <w:t xml:space="preserve">PN11</w:t>
            </w:r>
          </w:p>
        </w:tc>
        <w:tc>
          <w:tcPr>
            <w:tcW w:type="dxa" w:w="1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15,000</w:t>
            </w:r>
          </w:p>
        </w:tc>
        <w:tc>
          <w:tcPr>
            <w:tcW w:type="dxa" w:w="1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45,000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40,500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22,000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18,500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3,700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14,800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39,466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177,147</w:t>
            </w:r>
          </w:p>
        </w:tc>
        <w:tc>
          <w:tcPr>
            <w:tcW w:type="dxa" w:w="2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265,720</w:t>
            </w:r>
          </w:p>
        </w:tc>
      </w:tr>
      <w:tr>
        <w:tc>
          <w:tcPr>
            <w:tcW w:type="dxa" w:w="9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6"/>
                <w:szCs w:val="16"/>
              </w:rPr>
              <w:t xml:space="preserve">PN12</w:t>
            </w:r>
          </w:p>
        </w:tc>
        <w:tc>
          <w:tcPr>
            <w:tcW w:type="dxa" w:w="1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22,000</w:t>
            </w:r>
          </w:p>
        </w:tc>
        <w:tc>
          <w:tcPr>
            <w:tcW w:type="dxa" w:w="1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66,000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59,400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35,000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24,400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4,880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19,520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58,986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531,441</w:t>
            </w:r>
          </w:p>
        </w:tc>
        <w:tc>
          <w:tcPr>
            <w:tcW w:type="dxa" w:w="2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797,161</w:t>
            </w:r>
          </w:p>
        </w:tc>
      </w:tr>
      <w:tr>
        <w:tc>
          <w:tcPr>
            <w:tcW w:type="dxa" w:w="9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6"/>
                <w:szCs w:val="16"/>
              </w:rPr>
              <w:t xml:space="preserve">PN13</w:t>
            </w:r>
          </w:p>
        </w:tc>
        <w:tc>
          <w:tcPr>
            <w:tcW w:type="dxa" w:w="1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35,000</w:t>
            </w:r>
          </w:p>
        </w:tc>
        <w:tc>
          <w:tcPr>
            <w:tcW w:type="dxa" w:w="1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105,000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94,500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60,000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34,500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6,900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27,600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86,586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1,594,323</w:t>
            </w:r>
          </w:p>
        </w:tc>
        <w:tc>
          <w:tcPr>
            <w:tcW w:type="dxa" w:w="2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2,391,484</w:t>
            </w:r>
          </w:p>
        </w:tc>
      </w:tr>
      <w:tr>
        <w:tc>
          <w:tcPr>
            <w:tcW w:type="dxa" w:w="9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6"/>
                <w:szCs w:val="16"/>
              </w:rPr>
              <w:t xml:space="preserve">PN14</w:t>
            </w:r>
          </w:p>
        </w:tc>
        <w:tc>
          <w:tcPr>
            <w:tcW w:type="dxa" w:w="1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60,000</w:t>
            </w:r>
          </w:p>
        </w:tc>
        <w:tc>
          <w:tcPr>
            <w:tcW w:type="dxa" w:w="1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180,000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162,000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90,000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72,000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14,400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57,600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144,186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4,782,969</w:t>
            </w:r>
          </w:p>
        </w:tc>
        <w:tc>
          <w:tcPr>
            <w:tcW w:type="dxa" w:w="2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7,174,453</w:t>
            </w:r>
          </w:p>
        </w:tc>
      </w:tr>
      <w:tr>
        <w:tc>
          <w:tcPr>
            <w:tcW w:type="dxa" w:w="9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6"/>
                <w:szCs w:val="16"/>
              </w:rPr>
              <w:t xml:space="preserve">PN15</w:t>
            </w:r>
          </w:p>
        </w:tc>
        <w:tc>
          <w:tcPr>
            <w:tcW w:type="dxa" w:w="1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90,000</w:t>
            </w:r>
          </w:p>
        </w:tc>
        <w:tc>
          <w:tcPr>
            <w:tcW w:type="dxa" w:w="1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270,000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243,000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150,000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93,000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18,600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74,400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218,586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14,348,907</w:t>
            </w:r>
          </w:p>
        </w:tc>
        <w:tc>
          <w:tcPr>
            <w:tcW w:type="dxa" w:w="2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21,523,360</w:t>
            </w:r>
          </w:p>
        </w:tc>
      </w:tr>
      <w:tr>
        <w:tc>
          <w:tcPr>
            <w:tcW w:type="dxa" w:w="9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6"/>
                <w:szCs w:val="16"/>
              </w:rPr>
              <w:t xml:space="preserve">PN16</w:t>
            </w:r>
          </w:p>
        </w:tc>
        <w:tc>
          <w:tcPr>
            <w:tcW w:type="dxa" w:w="1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150,000</w:t>
            </w:r>
          </w:p>
        </w:tc>
        <w:tc>
          <w:tcPr>
            <w:tcW w:type="dxa" w:w="1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450,000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405,000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250,000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155,000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31,000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124,000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342,586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43,046,721</w:t>
            </w:r>
          </w:p>
        </w:tc>
        <w:tc>
          <w:tcPr>
            <w:tcW w:type="dxa" w:w="2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64,570,081</w:t>
            </w:r>
          </w:p>
        </w:tc>
      </w:tr>
      <w:tr>
        <w:tc>
          <w:tcPr>
            <w:tcW w:type="dxa" w:w="9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6"/>
                <w:szCs w:val="16"/>
              </w:rPr>
              <w:t xml:space="preserve">PN17</w:t>
            </w:r>
          </w:p>
        </w:tc>
        <w:tc>
          <w:tcPr>
            <w:tcW w:type="dxa" w:w="1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250,000</w:t>
            </w:r>
          </w:p>
        </w:tc>
        <w:tc>
          <w:tcPr>
            <w:tcW w:type="dxa" w:w="1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750,000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675,000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450,000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225,000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45,000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180,000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522,586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129,140,163</w:t>
            </w:r>
          </w:p>
        </w:tc>
        <w:tc>
          <w:tcPr>
            <w:tcW w:type="dxa" w:w="2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193,710,244</w:t>
            </w:r>
          </w:p>
        </w:tc>
      </w:tr>
      <w:tr>
        <w:tc>
          <w:tcPr>
            <w:tcW w:type="dxa" w:w="9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6"/>
                <w:szCs w:val="16"/>
              </w:rPr>
              <w:t xml:space="preserve">PN18</w:t>
            </w:r>
          </w:p>
        </w:tc>
        <w:tc>
          <w:tcPr>
            <w:tcW w:type="dxa" w:w="1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450,000</w:t>
            </w:r>
          </w:p>
        </w:tc>
        <w:tc>
          <w:tcPr>
            <w:tcW w:type="dxa" w:w="1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1,350,000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1,215,000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700,000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515,000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103,000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412,000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934,586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387,420,489</w:t>
            </w:r>
          </w:p>
        </w:tc>
        <w:tc>
          <w:tcPr>
            <w:tcW w:type="dxa" w:w="2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581,130,733</w:t>
            </w:r>
          </w:p>
        </w:tc>
      </w:tr>
      <w:tr>
        <w:tc>
          <w:tcPr>
            <w:tcW w:type="dxa" w:w="9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6"/>
                <w:szCs w:val="16"/>
              </w:rPr>
              <w:t xml:space="preserve">PN19</w:t>
            </w:r>
          </w:p>
        </w:tc>
        <w:tc>
          <w:tcPr>
            <w:tcW w:type="dxa" w:w="1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700,000</w:t>
            </w:r>
          </w:p>
        </w:tc>
        <w:tc>
          <w:tcPr>
            <w:tcW w:type="dxa" w:w="1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2,100,000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1,890,000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1,000,000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890,000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178,000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712,000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1,646,586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1,162,261,467</w:t>
            </w:r>
          </w:p>
        </w:tc>
        <w:tc>
          <w:tcPr>
            <w:tcW w:type="dxa" w:w="2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6"/>
                <w:szCs w:val="16"/>
              </w:rPr>
              <w:t xml:space="preserve">1,743,392,200</w:t>
            </w:r>
          </w:p>
        </w:tc>
      </w:tr>
      <w:tr>
        <w:tc>
          <w:tcPr>
            <w:tcW w:type="dxa" w:w="9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5CD79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5A3A05"/>
                <w:sz w:val="16"/>
                <w:szCs w:val="16"/>
              </w:rPr>
              <w:t xml:space="preserve">PN20</w:t>
            </w:r>
          </w:p>
        </w:tc>
        <w:tc>
          <w:tcPr>
            <w:tcW w:type="dxa" w:w="1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5CD79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5A3A05"/>
                <w:sz w:val="16"/>
                <w:szCs w:val="16"/>
              </w:rPr>
              <w:t xml:space="preserve">1,000,000</w:t>
            </w:r>
          </w:p>
        </w:tc>
        <w:tc>
          <w:tcPr>
            <w:tcW w:type="dxa" w:w="1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5CD79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5A3A05"/>
                <w:sz w:val="16"/>
                <w:szCs w:val="16"/>
              </w:rPr>
              <w:t xml:space="preserve">3,000,000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5CD79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5A3A05"/>
                <w:sz w:val="16"/>
                <w:szCs w:val="16"/>
              </w:rPr>
              <w:t xml:space="preserve">2,700,000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5CD79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5A3A05"/>
                <w:sz w:val="16"/>
                <w:szCs w:val="16"/>
              </w:rPr>
              <w:t xml:space="preserve">0</w:t>
            </w:r>
          </w:p>
        </w:tc>
        <w:tc>
          <w:tcPr>
            <w:tcW w:type="dxa" w:w="10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5CD79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5A3A05"/>
                <w:sz w:val="16"/>
                <w:szCs w:val="16"/>
              </w:rPr>
              <w:t xml:space="preserve">2,700,000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5CD79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5A3A05"/>
                <w:sz w:val="16"/>
                <w:szCs w:val="16"/>
              </w:rPr>
              <w:t xml:space="preserve">540,000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5CD79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5A3A05"/>
                <w:sz w:val="16"/>
                <w:szCs w:val="16"/>
              </w:rPr>
              <w:t xml:space="preserve">2,160,000</w:t>
            </w:r>
          </w:p>
        </w:tc>
        <w:tc>
          <w:tcPr>
            <w:tcW w:type="dxa" w:w="1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5CD79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5A3A05"/>
                <w:sz w:val="16"/>
                <w:szCs w:val="16"/>
              </w:rPr>
              <w:t xml:space="preserve">3,806,586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5CD79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5A3A05"/>
                <w:sz w:val="16"/>
                <w:szCs w:val="16"/>
              </w:rPr>
              <w:t xml:space="preserve">3,486,784,401</w:t>
            </w:r>
          </w:p>
        </w:tc>
        <w:tc>
          <w:tcPr>
            <w:tcW w:type="dxa" w:w="22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5CD79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5A3A05"/>
                <w:sz w:val="16"/>
                <w:szCs w:val="16"/>
              </w:rPr>
              <w:t xml:space="preserve">5,230,176,601</w:t>
            </w:r>
          </w:p>
        </w:tc>
      </w:tr>
    </w:tbl>
    <w:p>
      <w:pPr>
        <w:spacing w:after="220" w:before="120"/>
      </w:pPr>
      <w:r>
        <w:rPr>
          <w:rFonts w:ascii="Microsoft JhengHei" w:cs="Microsoft JhengHei" w:eastAsia="Microsoft JhengHei" w:hAnsi="Microsoft JhengHei"/>
          <w:b w:val="false"/>
          <w:bCs w:val="false"/>
          <w:i/>
          <w:iCs/>
          <w:color w:val="6B7280"/>
          <w:sz w:val="20"/>
          <w:szCs w:val="20"/>
        </w:rPr>
        <w:t xml:space="preserve">單位：USDT（U）。PN0–PN3不提取領導層分紅；PN4起本級淨可提現＝本級可提現×80%，提取部分進入L1B領導人每日分紅池。累計可提現逐級滾算，僅供參考，實際入帳以系統結算為準。本層新增人數與有效人數累計依「每3人產生1人晉級」之結構規律推算：PN16以1億人規模可完整達成（需64,570,081人）；PN17以上所需人數已超過1億人規模，PN20更需逾52億人，已接近全球人口，現實中僅具制度封頂意義。</w:t>
      </w:r>
    </w:p>
    <w:p>
      <w:pPr>
        <w:spacing w:after="160" w:before="300"/>
      </w:pPr>
      <w:r>
        <w:rPr>
          <w:rFonts w:ascii="Microsoft JhengHei" w:cs="Microsoft JhengHei" w:eastAsia="Microsoft JhengHei" w:hAnsi="Microsoft JhengHei"/>
          <w:b/>
          <w:bCs/>
          <w:i w:val="false"/>
          <w:iCs w:val="false"/>
          <w:color w:val="B91C1C"/>
          <w:sz w:val="26"/>
          <w:szCs w:val="26"/>
        </w:rPr>
        <w:t xml:space="preserve">PN分層人數對照：不同規模示例</w:t>
      </w:r>
    </w:p>
    <w:p>
      <w:pPr>
        <w:spacing w:after="160" w:line="340"/>
      </w:pPr>
      <w:r>
        <w:rPr>
          <w:rFonts w:ascii="Microsoft JhengHei" w:cs="Microsoft JhengHei" w:eastAsia="Microsoft JhengHei" w:hAnsi="Microsoft JhengHei"/>
          <w:b w:val="false"/>
          <w:bCs w:val="false"/>
          <w:i w:val="false"/>
          <w:iCs w:val="false"/>
          <w:color w:val="1F2937"/>
          <w:sz w:val="22"/>
          <w:szCs w:val="22"/>
        </w:rPr>
        <w:t xml:space="preserve">上表「有效人數累計」回答的是「要完整走到某一級，最少需要多少人」；下表回答另一個角度的問題——「當全網共有N人時，這些人實際分布在哪些級別」。兩者互為對照，方法一致：每3人中約有1人晉級下一層，故每級人數約為上一級的三分之一；未進PN人數約為全網總人數的一半。</w:t>
      </w:r>
    </w:p>
    <w:tbl>
      <w:tblPr>
        <w:tblW w:type="dxa" w:w="14400"/>
        <w:tblBorders>
          <w:top w:val="single" w:sz="6" w:space="0" w:color="C98A2E"/>
          <w:left w:val="single" w:sz="6" w:space="0" w:color="C98A2E"/>
          <w:bottom w:val="single" w:sz="6" w:space="0" w:color="C98A2E"/>
          <w:right w:val="single" w:sz="6" w:space="0" w:color="C98A2E"/>
          <w:insideH w:val="single" w:sz="6" w:space="0" w:color="C98A2E"/>
          <w:insideV w:val="single" w:sz="6" w:space="0" w:color="C98A2E"/>
        </w:tblBorders>
      </w:tblPr>
      <w:tblGrid>
        <w:gridCol w:w="1800"/>
        <w:gridCol w:w="3150"/>
        <w:gridCol w:w="3150"/>
        <w:gridCol w:w="3150"/>
        <w:gridCol w:w="3150"/>
      </w:tblGrid>
      <w:tr>
        <w:trPr>
          <w:tblHeader/>
        </w:trPr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級別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全網1,000人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全網10,000人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全網100,000人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全網1,000,000人</w:t>
            </w:r>
          </w:p>
        </w:tc>
      </w:tr>
      <w:tr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9"/>
                <w:szCs w:val="19"/>
              </w:rPr>
              <w:t xml:space="preserve">未進PN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502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5,004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50,005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500,007</w:t>
            </w:r>
          </w:p>
        </w:tc>
      </w:tr>
      <w:tr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9"/>
                <w:szCs w:val="19"/>
              </w:rPr>
              <w:t xml:space="preserve">PN0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333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3,333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33,333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333,333</w:t>
            </w:r>
          </w:p>
        </w:tc>
      </w:tr>
      <w:tr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9"/>
                <w:szCs w:val="19"/>
              </w:rPr>
              <w:t xml:space="preserve">PN1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111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1,111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11,111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111,111</w:t>
            </w:r>
          </w:p>
        </w:tc>
      </w:tr>
      <w:tr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9"/>
                <w:szCs w:val="19"/>
              </w:rPr>
              <w:t xml:space="preserve">PN2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37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370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3,703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37,037</w:t>
            </w:r>
          </w:p>
        </w:tc>
      </w:tr>
      <w:tr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9"/>
                <w:szCs w:val="19"/>
              </w:rPr>
              <w:t xml:space="preserve">PN3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12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123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1,234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12,345</w:t>
            </w:r>
          </w:p>
        </w:tc>
      </w:tr>
      <w:tr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9"/>
                <w:szCs w:val="19"/>
              </w:rPr>
              <w:t xml:space="preserve">PN4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4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41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411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4,115</w:t>
            </w:r>
          </w:p>
        </w:tc>
      </w:tr>
      <w:tr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9"/>
                <w:szCs w:val="19"/>
              </w:rPr>
              <w:t xml:space="preserve">PN5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1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13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137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1,371</w:t>
            </w:r>
          </w:p>
        </w:tc>
      </w:tr>
      <w:tr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9"/>
                <w:szCs w:val="19"/>
              </w:rPr>
              <w:t xml:space="preserve">PN6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—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4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45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457</w:t>
            </w:r>
          </w:p>
        </w:tc>
      </w:tr>
      <w:tr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9"/>
                <w:szCs w:val="19"/>
              </w:rPr>
              <w:t xml:space="preserve">PN7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—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1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15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152</w:t>
            </w:r>
          </w:p>
        </w:tc>
      </w:tr>
      <w:tr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9"/>
                <w:szCs w:val="19"/>
              </w:rPr>
              <w:t xml:space="preserve">PN8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—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—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5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50</w:t>
            </w:r>
          </w:p>
        </w:tc>
      </w:tr>
      <w:tr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9"/>
                <w:szCs w:val="19"/>
              </w:rPr>
              <w:t xml:space="preserve">PN9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—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—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1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16</w:t>
            </w:r>
          </w:p>
        </w:tc>
      </w:tr>
      <w:tr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9"/>
                <w:szCs w:val="19"/>
              </w:rPr>
              <w:t xml:space="preserve">PN10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—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—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—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5</w:t>
            </w:r>
          </w:p>
        </w:tc>
      </w:tr>
      <w:tr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19"/>
                <w:szCs w:val="19"/>
              </w:rPr>
              <w:t xml:space="preserve">PN11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—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—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—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19"/>
                <w:szCs w:val="19"/>
              </w:rPr>
              <w:t xml:space="preserve">1</w:t>
            </w:r>
          </w:p>
        </w:tc>
      </w:tr>
      <w:tr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5CD79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5A3A05"/>
                <w:sz w:val="19"/>
                <w:szCs w:val="19"/>
              </w:rPr>
              <w:t xml:space="preserve">最高完整級別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5CD79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5A3A05"/>
                <w:sz w:val="19"/>
                <w:szCs w:val="19"/>
              </w:rPr>
              <w:t xml:space="preserve">PN5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5CD79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5A3A05"/>
                <w:sz w:val="19"/>
                <w:szCs w:val="19"/>
              </w:rPr>
              <w:t xml:space="preserve">PN7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5CD79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5A3A05"/>
                <w:sz w:val="19"/>
                <w:szCs w:val="19"/>
              </w:rPr>
              <w:t xml:space="preserve">PN9</w:t>
            </w:r>
          </w:p>
        </w:tc>
        <w:tc>
          <w:tcPr>
            <w:tcW w:type="dxa" w:w="315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5CD79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5A3A05"/>
                <w:sz w:val="19"/>
                <w:szCs w:val="19"/>
              </w:rPr>
              <w:t xml:space="preserve">PN11</w:t>
            </w:r>
          </w:p>
        </w:tc>
      </w:tr>
    </w:tbl>
    <w:p>
      <w:pPr>
        <w:spacing w:after="220" w:before="120"/>
      </w:pPr>
      <w:r>
        <w:rPr>
          <w:rFonts w:ascii="Microsoft JhengHei" w:cs="Microsoft JhengHei" w:eastAsia="Microsoft JhengHei" w:hAnsi="Microsoft JhengHei"/>
          <w:b w:val="false"/>
          <w:bCs w:val="false"/>
          <w:i/>
          <w:iCs/>
          <w:color w:val="6B7280"/>
          <w:sz w:val="20"/>
          <w:szCs w:val="20"/>
        </w:rPr>
        <w:t xml:space="preserve">每一欄人數加總即等於該欄全網總人數（例如1,000人欄：502＋333＋111＋37＋12＋1＝1,000）。此表與上方PN0–PN20表的「有效人數累計」為同一套結構規律的兩種呈現方式，僅供理解人數分布之用，非官方保證的實際分布。</w:t>
      </w:r>
    </w:p>
    <w:p>
      <w:pPr>
        <w:pBdr>
          <w:bottom w:val="single" w:color="D4AF37" w:sz="12" w:space="4"/>
        </w:pBdr>
        <w:spacing w:after="200" w:before="480"/>
      </w:pPr>
      <w:r>
        <w:rPr>
          <w:rFonts w:ascii="Microsoft JhengHei" w:cs="Microsoft JhengHei" w:eastAsia="Microsoft JhengHei" w:hAnsi="Microsoft JhengHei"/>
          <w:b/>
          <w:bCs/>
          <w:i w:val="false"/>
          <w:iCs w:val="false"/>
          <w:color w:val="B8860B"/>
          <w:sz w:val="30"/>
          <w:szCs w:val="30"/>
        </w:rPr>
        <w:t xml:space="preserve">四、  </w:t>
      </w:r>
      <w:r>
        <w:rPr>
          <w:rFonts w:ascii="Microsoft JhengHei" w:cs="Microsoft JhengHei" w:eastAsia="Microsoft JhengHei" w:hAnsi="Microsoft JhengHei"/>
          <w:b/>
          <w:bCs/>
          <w:i w:val="false"/>
          <w:iCs w:val="false"/>
          <w:color w:val="B91C1C"/>
          <w:sz w:val="30"/>
          <w:szCs w:val="30"/>
        </w:rPr>
        <w:t xml:space="preserve">VIP六級升級表</w:t>
      </w:r>
    </w:p>
    <w:tbl>
      <w:tblPr>
        <w:tblW w:type="dxa" w:w="14400"/>
        <w:tblBorders>
          <w:top w:val="single" w:sz="6" w:space="0" w:color="C98A2E"/>
          <w:left w:val="single" w:sz="6" w:space="0" w:color="C98A2E"/>
          <w:bottom w:val="single" w:sz="6" w:space="0" w:color="C98A2E"/>
          <w:right w:val="single" w:sz="6" w:space="0" w:color="C98A2E"/>
          <w:insideH w:val="single" w:sz="6" w:space="0" w:color="C98A2E"/>
          <w:insideV w:val="single" w:sz="6" w:space="0" w:color="C98A2E"/>
        </w:tblBorders>
      </w:tblPr>
      <w:tblGrid>
        <w:gridCol w:w="1200"/>
        <w:gridCol w:w="2400"/>
        <w:gridCol w:w="1600"/>
        <w:gridCol w:w="2800"/>
        <w:gridCol w:w="2400"/>
        <w:gridCol w:w="1800"/>
        <w:gridCol w:w="2200"/>
      </w:tblGrid>
      <w:tr>
        <w:trPr>
          <w:tblHeader/>
        </w:trPr>
        <w:tc>
          <w:tcPr>
            <w:tcW w:type="dxa" w:w="12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級別</w:t>
            </w:r>
          </w:p>
        </w:tc>
        <w:tc>
          <w:tcPr>
            <w:tcW w:type="dxa" w:w="2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直接投資獨立升級</w:t>
            </w:r>
          </w:p>
        </w:tc>
        <w:tc>
          <w:tcPr>
            <w:tcW w:type="dxa" w:w="1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直推人數</w:t>
            </w:r>
          </w:p>
        </w:tc>
        <w:tc>
          <w:tcPr>
            <w:tcW w:type="dxa" w:w="2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傘下入金總業績</w:t>
            </w:r>
          </w:p>
        </w:tc>
        <w:tc>
          <w:tcPr>
            <w:tcW w:type="dxa" w:w="2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低一級VIP要求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入金分紅</w:t>
            </w:r>
          </w:p>
        </w:tc>
        <w:tc>
          <w:tcPr>
            <w:tcW w:type="dxa" w:w="22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PN升級分紅</w:t>
            </w:r>
          </w:p>
        </w:tc>
      </w:tr>
      <w:tr>
        <w:tc>
          <w:tcPr>
            <w:tcW w:type="dxa" w:w="12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21"/>
                <w:szCs w:val="21"/>
              </w:rPr>
              <w:t xml:space="preserve">VIP1</w:t>
            </w:r>
          </w:p>
        </w:tc>
        <w:tc>
          <w:tcPr>
            <w:tcW w:type="dxa" w:w="2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1,000U</w:t>
            </w:r>
          </w:p>
        </w:tc>
        <w:tc>
          <w:tcPr>
            <w:tcW w:type="dxa" w:w="1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4人</w:t>
            </w:r>
          </w:p>
        </w:tc>
        <w:tc>
          <w:tcPr>
            <w:tcW w:type="dxa" w:w="2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5,000U</w:t>
            </w:r>
          </w:p>
        </w:tc>
        <w:tc>
          <w:tcPr>
            <w:tcW w:type="dxa" w:w="2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無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1.5%</w:t>
            </w:r>
          </w:p>
        </w:tc>
        <w:tc>
          <w:tcPr>
            <w:tcW w:type="dxa" w:w="22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1%</w:t>
            </w:r>
          </w:p>
        </w:tc>
      </w:tr>
      <w:tr>
        <w:tc>
          <w:tcPr>
            <w:tcW w:type="dxa" w:w="12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21"/>
                <w:szCs w:val="21"/>
              </w:rPr>
              <w:t xml:space="preserve">VIP2</w:t>
            </w:r>
          </w:p>
        </w:tc>
        <w:tc>
          <w:tcPr>
            <w:tcW w:type="dxa" w:w="2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2,000U</w:t>
            </w:r>
          </w:p>
        </w:tc>
        <w:tc>
          <w:tcPr>
            <w:tcW w:type="dxa" w:w="1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6人</w:t>
            </w:r>
          </w:p>
        </w:tc>
        <w:tc>
          <w:tcPr>
            <w:tcW w:type="dxa" w:w="2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10,000U</w:t>
            </w:r>
          </w:p>
        </w:tc>
        <w:tc>
          <w:tcPr>
            <w:tcW w:type="dxa" w:w="2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2個VIP1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2%</w:t>
            </w:r>
          </w:p>
        </w:tc>
        <w:tc>
          <w:tcPr>
            <w:tcW w:type="dxa" w:w="22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1.2%</w:t>
            </w:r>
          </w:p>
        </w:tc>
      </w:tr>
      <w:tr>
        <w:tc>
          <w:tcPr>
            <w:tcW w:type="dxa" w:w="12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21"/>
                <w:szCs w:val="21"/>
              </w:rPr>
              <w:t xml:space="preserve">VIP3</w:t>
            </w:r>
          </w:p>
        </w:tc>
        <w:tc>
          <w:tcPr>
            <w:tcW w:type="dxa" w:w="2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3,000U</w:t>
            </w:r>
          </w:p>
        </w:tc>
        <w:tc>
          <w:tcPr>
            <w:tcW w:type="dxa" w:w="1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8人</w:t>
            </w:r>
          </w:p>
        </w:tc>
        <w:tc>
          <w:tcPr>
            <w:tcW w:type="dxa" w:w="2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100,000U</w:t>
            </w:r>
          </w:p>
        </w:tc>
        <w:tc>
          <w:tcPr>
            <w:tcW w:type="dxa" w:w="2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2個VIP2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2.5%</w:t>
            </w:r>
          </w:p>
        </w:tc>
        <w:tc>
          <w:tcPr>
            <w:tcW w:type="dxa" w:w="22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1.5%</w:t>
            </w:r>
          </w:p>
        </w:tc>
      </w:tr>
      <w:tr>
        <w:tc>
          <w:tcPr>
            <w:tcW w:type="dxa" w:w="12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21"/>
                <w:szCs w:val="21"/>
              </w:rPr>
              <w:t xml:space="preserve">VIP4</w:t>
            </w:r>
          </w:p>
        </w:tc>
        <w:tc>
          <w:tcPr>
            <w:tcW w:type="dxa" w:w="2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5,000U</w:t>
            </w:r>
          </w:p>
        </w:tc>
        <w:tc>
          <w:tcPr>
            <w:tcW w:type="dxa" w:w="1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10人</w:t>
            </w:r>
          </w:p>
        </w:tc>
        <w:tc>
          <w:tcPr>
            <w:tcW w:type="dxa" w:w="2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1,000,000U</w:t>
            </w:r>
          </w:p>
        </w:tc>
        <w:tc>
          <w:tcPr>
            <w:tcW w:type="dxa" w:w="2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2個VIP3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3%</w:t>
            </w:r>
          </w:p>
        </w:tc>
        <w:tc>
          <w:tcPr>
            <w:tcW w:type="dxa" w:w="22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1.8%</w:t>
            </w:r>
          </w:p>
        </w:tc>
      </w:tr>
      <w:tr>
        <w:tc>
          <w:tcPr>
            <w:tcW w:type="dxa" w:w="12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21"/>
                <w:szCs w:val="21"/>
              </w:rPr>
              <w:t xml:space="preserve">VIP5</w:t>
            </w:r>
          </w:p>
        </w:tc>
        <w:tc>
          <w:tcPr>
            <w:tcW w:type="dxa" w:w="2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10,000U</w:t>
            </w:r>
          </w:p>
        </w:tc>
        <w:tc>
          <w:tcPr>
            <w:tcW w:type="dxa" w:w="1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20人</w:t>
            </w:r>
          </w:p>
        </w:tc>
        <w:tc>
          <w:tcPr>
            <w:tcW w:type="dxa" w:w="2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10,000,000U</w:t>
            </w:r>
          </w:p>
        </w:tc>
        <w:tc>
          <w:tcPr>
            <w:tcW w:type="dxa" w:w="2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2個VIP4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4%</w:t>
            </w:r>
          </w:p>
        </w:tc>
        <w:tc>
          <w:tcPr>
            <w:tcW w:type="dxa" w:w="22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2%</w:t>
            </w:r>
          </w:p>
        </w:tc>
      </w:tr>
      <w:tr>
        <w:tc>
          <w:tcPr>
            <w:tcW w:type="dxa" w:w="12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21"/>
                <w:szCs w:val="21"/>
              </w:rPr>
              <w:t xml:space="preserve">VIP6</w:t>
            </w:r>
          </w:p>
        </w:tc>
        <w:tc>
          <w:tcPr>
            <w:tcW w:type="dxa" w:w="2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VIP5再投10,000U</w:t>
            </w:r>
          </w:p>
        </w:tc>
        <w:tc>
          <w:tcPr>
            <w:tcW w:type="dxa" w:w="1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無</w:t>
            </w:r>
          </w:p>
        </w:tc>
        <w:tc>
          <w:tcPr>
            <w:tcW w:type="dxa" w:w="2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無</w:t>
            </w:r>
          </w:p>
        </w:tc>
        <w:tc>
          <w:tcPr>
            <w:tcW w:type="dxa" w:w="2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無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5%</w:t>
            </w:r>
          </w:p>
        </w:tc>
        <w:tc>
          <w:tcPr>
            <w:tcW w:type="dxa" w:w="22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2.5%</w:t>
            </w:r>
          </w:p>
        </w:tc>
      </w:tr>
    </w:tbl>
    <w:p>
      <w:pPr>
        <w:spacing w:after="220" w:before="120"/>
      </w:pPr>
      <w:r>
        <w:rPr>
          <w:rFonts w:ascii="Microsoft JhengHei" w:cs="Microsoft JhengHei" w:eastAsia="Microsoft JhengHei" w:hAnsi="Microsoft JhengHei"/>
          <w:b w:val="false"/>
          <w:bCs w:val="false"/>
          <w:i/>
          <w:iCs/>
          <w:color w:val="6B7280"/>
          <w:sz w:val="20"/>
          <w:szCs w:val="20"/>
        </w:rPr>
        <w:t xml:space="preserve">直接投資與推薦業績為兩條獨立升級途徑，達到任一條件即可取得對應VIP資格。</w:t>
      </w:r>
    </w:p>
    <w:p>
      <w:pPr>
        <w:pBdr>
          <w:bottom w:val="single" w:color="D4AF37" w:sz="12" w:space="4"/>
        </w:pBdr>
        <w:spacing w:after="200" w:before="480"/>
      </w:pPr>
      <w:r>
        <w:rPr>
          <w:rFonts w:ascii="Microsoft JhengHei" w:cs="Microsoft JhengHei" w:eastAsia="Microsoft JhengHei" w:hAnsi="Microsoft JhengHei"/>
          <w:b/>
          <w:bCs/>
          <w:i w:val="false"/>
          <w:iCs w:val="false"/>
          <w:color w:val="B8860B"/>
          <w:sz w:val="30"/>
          <w:szCs w:val="30"/>
        </w:rPr>
        <w:t xml:space="preserve">五、  </w:t>
      </w:r>
      <w:r>
        <w:rPr>
          <w:rFonts w:ascii="Microsoft JhengHei" w:cs="Microsoft JhengHei" w:eastAsia="Microsoft JhengHei" w:hAnsi="Microsoft JhengHei"/>
          <w:b/>
          <w:bCs/>
          <w:i w:val="false"/>
          <w:iCs w:val="false"/>
          <w:color w:val="B91C1C"/>
          <w:sz w:val="30"/>
          <w:szCs w:val="30"/>
        </w:rPr>
        <w:t xml:space="preserve">VIP直接投資特殊分配</w:t>
      </w:r>
    </w:p>
    <w:p>
      <w:pPr>
        <w:spacing w:after="160" w:line="340"/>
      </w:pPr>
      <w:r>
        <w:rPr>
          <w:rFonts w:ascii="Microsoft JhengHei" w:cs="Microsoft JhengHei" w:eastAsia="Microsoft JhengHei" w:hAnsi="Microsoft JhengHei"/>
          <w:b w:val="false"/>
          <w:bCs w:val="false"/>
          <w:i w:val="false"/>
          <w:iCs w:val="false"/>
          <w:color w:val="1F2937"/>
          <w:sz w:val="22"/>
          <w:szCs w:val="22"/>
        </w:rPr>
        <w:t xml:space="preserve">VIP1–VIP6直接投資款，六級皆採用相同比例：直推人20%、接點上級5%、公司營運75%。</w:t>
      </w:r>
    </w:p>
    <w:tbl>
      <w:tblPr>
        <w:tblW w:type="dxa" w:w="12600"/>
        <w:tblBorders>
          <w:top w:val="single" w:sz="6" w:space="0" w:color="C98A2E"/>
          <w:left w:val="single" w:sz="6" w:space="0" w:color="C98A2E"/>
          <w:bottom w:val="single" w:sz="6" w:space="0" w:color="C98A2E"/>
          <w:right w:val="single" w:sz="6" w:space="0" w:color="C98A2E"/>
          <w:insideH w:val="single" w:sz="6" w:space="0" w:color="C98A2E"/>
          <w:insideV w:val="single" w:sz="6" w:space="0" w:color="C98A2E"/>
        </w:tblBorders>
      </w:tblPr>
      <w:tblGrid>
        <w:gridCol w:w="1600"/>
        <w:gridCol w:w="2400"/>
        <w:gridCol w:w="2600"/>
        <w:gridCol w:w="2400"/>
        <w:gridCol w:w="3600"/>
      </w:tblGrid>
      <w:tr>
        <w:trPr>
          <w:tblHeader/>
        </w:trPr>
        <w:tc>
          <w:tcPr>
            <w:tcW w:type="dxa" w:w="1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級別</w:t>
            </w:r>
          </w:p>
        </w:tc>
        <w:tc>
          <w:tcPr>
            <w:tcW w:type="dxa" w:w="2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直接投資額</w:t>
            </w:r>
          </w:p>
        </w:tc>
        <w:tc>
          <w:tcPr>
            <w:tcW w:type="dxa" w:w="2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直推獎20%</w:t>
            </w:r>
          </w:p>
        </w:tc>
        <w:tc>
          <w:tcPr>
            <w:tcW w:type="dxa" w:w="2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接點獎5%</w:t>
            </w:r>
          </w:p>
        </w:tc>
        <w:tc>
          <w:tcPr>
            <w:tcW w:type="dxa" w:w="3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營運75%</w:t>
            </w:r>
          </w:p>
        </w:tc>
      </w:tr>
      <w:tr>
        <w:tc>
          <w:tcPr>
            <w:tcW w:type="dxa" w:w="1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21"/>
                <w:szCs w:val="21"/>
              </w:rPr>
              <w:t xml:space="preserve">VIP1</w:t>
            </w:r>
          </w:p>
        </w:tc>
        <w:tc>
          <w:tcPr>
            <w:tcW w:type="dxa" w:w="2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1,000U</w:t>
            </w:r>
          </w:p>
        </w:tc>
        <w:tc>
          <w:tcPr>
            <w:tcW w:type="dxa" w:w="2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200U</w:t>
            </w:r>
          </w:p>
        </w:tc>
        <w:tc>
          <w:tcPr>
            <w:tcW w:type="dxa" w:w="2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50U</w:t>
            </w:r>
          </w:p>
        </w:tc>
        <w:tc>
          <w:tcPr>
            <w:tcW w:type="dxa" w:w="3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750U</w:t>
            </w:r>
          </w:p>
        </w:tc>
      </w:tr>
      <w:tr>
        <w:tc>
          <w:tcPr>
            <w:tcW w:type="dxa" w:w="1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21"/>
                <w:szCs w:val="21"/>
              </w:rPr>
              <w:t xml:space="preserve">VIP2</w:t>
            </w:r>
          </w:p>
        </w:tc>
        <w:tc>
          <w:tcPr>
            <w:tcW w:type="dxa" w:w="2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2,000U</w:t>
            </w:r>
          </w:p>
        </w:tc>
        <w:tc>
          <w:tcPr>
            <w:tcW w:type="dxa" w:w="2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400U</w:t>
            </w:r>
          </w:p>
        </w:tc>
        <w:tc>
          <w:tcPr>
            <w:tcW w:type="dxa" w:w="2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100U</w:t>
            </w:r>
          </w:p>
        </w:tc>
        <w:tc>
          <w:tcPr>
            <w:tcW w:type="dxa" w:w="3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1,500U</w:t>
            </w:r>
          </w:p>
        </w:tc>
      </w:tr>
      <w:tr>
        <w:tc>
          <w:tcPr>
            <w:tcW w:type="dxa" w:w="1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21"/>
                <w:szCs w:val="21"/>
              </w:rPr>
              <w:t xml:space="preserve">VIP3</w:t>
            </w:r>
          </w:p>
        </w:tc>
        <w:tc>
          <w:tcPr>
            <w:tcW w:type="dxa" w:w="2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3,000U</w:t>
            </w:r>
          </w:p>
        </w:tc>
        <w:tc>
          <w:tcPr>
            <w:tcW w:type="dxa" w:w="2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600U</w:t>
            </w:r>
          </w:p>
        </w:tc>
        <w:tc>
          <w:tcPr>
            <w:tcW w:type="dxa" w:w="2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150U</w:t>
            </w:r>
          </w:p>
        </w:tc>
        <w:tc>
          <w:tcPr>
            <w:tcW w:type="dxa" w:w="3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2,250U</w:t>
            </w:r>
          </w:p>
        </w:tc>
      </w:tr>
      <w:tr>
        <w:tc>
          <w:tcPr>
            <w:tcW w:type="dxa" w:w="1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21"/>
                <w:szCs w:val="21"/>
              </w:rPr>
              <w:t xml:space="preserve">VIP4</w:t>
            </w:r>
          </w:p>
        </w:tc>
        <w:tc>
          <w:tcPr>
            <w:tcW w:type="dxa" w:w="2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5,000U</w:t>
            </w:r>
          </w:p>
        </w:tc>
        <w:tc>
          <w:tcPr>
            <w:tcW w:type="dxa" w:w="2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1,000U</w:t>
            </w:r>
          </w:p>
        </w:tc>
        <w:tc>
          <w:tcPr>
            <w:tcW w:type="dxa" w:w="2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250U</w:t>
            </w:r>
          </w:p>
        </w:tc>
        <w:tc>
          <w:tcPr>
            <w:tcW w:type="dxa" w:w="3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3,750U</w:t>
            </w:r>
          </w:p>
        </w:tc>
      </w:tr>
      <w:tr>
        <w:tc>
          <w:tcPr>
            <w:tcW w:type="dxa" w:w="1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21"/>
                <w:szCs w:val="21"/>
              </w:rPr>
              <w:t xml:space="preserve">VIP5</w:t>
            </w:r>
          </w:p>
        </w:tc>
        <w:tc>
          <w:tcPr>
            <w:tcW w:type="dxa" w:w="2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10,000U</w:t>
            </w:r>
          </w:p>
        </w:tc>
        <w:tc>
          <w:tcPr>
            <w:tcW w:type="dxa" w:w="2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2,000U</w:t>
            </w:r>
          </w:p>
        </w:tc>
        <w:tc>
          <w:tcPr>
            <w:tcW w:type="dxa" w:w="2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500U</w:t>
            </w:r>
          </w:p>
        </w:tc>
        <w:tc>
          <w:tcPr>
            <w:tcW w:type="dxa" w:w="3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7,500U</w:t>
            </w:r>
          </w:p>
        </w:tc>
      </w:tr>
      <w:tr>
        <w:tc>
          <w:tcPr>
            <w:tcW w:type="dxa" w:w="1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21"/>
                <w:szCs w:val="21"/>
              </w:rPr>
              <w:t xml:space="preserve">VIP6</w:t>
            </w:r>
          </w:p>
        </w:tc>
        <w:tc>
          <w:tcPr>
            <w:tcW w:type="dxa" w:w="2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10,000U</w:t>
            </w:r>
          </w:p>
        </w:tc>
        <w:tc>
          <w:tcPr>
            <w:tcW w:type="dxa" w:w="2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2,000U</w:t>
            </w:r>
          </w:p>
        </w:tc>
        <w:tc>
          <w:tcPr>
            <w:tcW w:type="dxa" w:w="2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500U</w:t>
            </w:r>
          </w:p>
        </w:tc>
        <w:tc>
          <w:tcPr>
            <w:tcW w:type="dxa" w:w="3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7,500U</w:t>
            </w:r>
          </w:p>
        </w:tc>
      </w:tr>
    </w:tbl>
    <w:p>
      <w:pPr>
        <w:spacing w:after="220" w:before="120"/>
      </w:pPr>
      <w:r>
        <w:rPr>
          <w:rFonts w:ascii="Microsoft JhengHei" w:cs="Microsoft JhengHei" w:eastAsia="Microsoft JhengHei" w:hAnsi="Microsoft JhengHei"/>
          <w:b w:val="false"/>
          <w:bCs w:val="false"/>
          <w:i/>
          <w:iCs/>
          <w:color w:val="6B7280"/>
          <w:sz w:val="20"/>
          <w:szCs w:val="20"/>
        </w:rPr>
        <w:t xml:space="preserve">此分配為VIP直接投資的特殊獎勵，獨立於普通100U推薦獎（50%）與節點獎（30%），不重複發放。</w:t>
      </w:r>
    </w:p>
    <w:p>
      <w:pPr>
        <w:pBdr>
          <w:bottom w:val="single" w:color="D4AF37" w:sz="12" w:space="4"/>
        </w:pBdr>
        <w:spacing w:after="200" w:before="480"/>
      </w:pPr>
      <w:r>
        <w:rPr>
          <w:rFonts w:ascii="Microsoft JhengHei" w:cs="Microsoft JhengHei" w:eastAsia="Microsoft JhengHei" w:hAnsi="Microsoft JhengHei"/>
          <w:b/>
          <w:bCs/>
          <w:i w:val="false"/>
          <w:iCs w:val="false"/>
          <w:color w:val="B8860B"/>
          <w:sz w:val="30"/>
          <w:szCs w:val="30"/>
        </w:rPr>
        <w:t xml:space="preserve">六、  </w:t>
      </w:r>
      <w:r>
        <w:rPr>
          <w:rFonts w:ascii="Microsoft JhengHei" w:cs="Microsoft JhengHei" w:eastAsia="Microsoft JhengHei" w:hAnsi="Microsoft JhengHei"/>
          <w:b/>
          <w:bCs/>
          <w:i w:val="false"/>
          <w:iCs w:val="false"/>
          <w:color w:val="B91C1C"/>
          <w:sz w:val="30"/>
          <w:szCs w:val="30"/>
        </w:rPr>
        <w:t xml:space="preserve">L1–L9領導層循環升級</w:t>
      </w:r>
    </w:p>
    <w:p>
      <w:pPr>
        <w:spacing w:after="160" w:line="340"/>
      </w:pPr>
      <w:r>
        <w:rPr>
          <w:rFonts w:ascii="Microsoft JhengHei" w:cs="Microsoft JhengHei" w:eastAsia="Microsoft JhengHei" w:hAnsi="Microsoft JhengHei"/>
          <w:b w:val="false"/>
          <w:bCs w:val="false"/>
          <w:i w:val="false"/>
          <w:iCs w:val="false"/>
          <w:color w:val="1F2937"/>
          <w:sz w:val="22"/>
          <w:szCs w:val="22"/>
        </w:rPr>
        <w:t xml:space="preserve">領導層循環（L1–L9）設有兩種進入路徑，取得的權益不同，統稱L1，實務上區分為L1A與L1B：</w:t>
      </w:r>
    </w:p>
    <w:tbl>
      <w:tblPr>
        <w:tblW w:type="dxa" w:w="14400"/>
        <w:tblBorders>
          <w:top w:val="single" w:sz="6" w:space="0" w:color="C98A2E"/>
          <w:left w:val="single" w:sz="6" w:space="0" w:color="C98A2E"/>
          <w:bottom w:val="single" w:sz="6" w:space="0" w:color="C98A2E"/>
          <w:right w:val="single" w:sz="6" w:space="0" w:color="C98A2E"/>
          <w:insideH w:val="single" w:sz="6" w:space="0" w:color="C98A2E"/>
          <w:insideV w:val="single" w:sz="6" w:space="0" w:color="C98A2E"/>
        </w:tblBorders>
      </w:tblPr>
      <w:tblGrid>
        <w:gridCol w:w="3600"/>
        <w:gridCol w:w="5400"/>
        <w:gridCol w:w="5400"/>
      </w:tblGrid>
      <w:tr>
        <w:trPr>
          <w:tblHeader/>
        </w:trPr>
        <w:tc>
          <w:tcPr>
            <w:tcW w:type="dxa" w:w="3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項目</w:t>
            </w:r>
          </w:p>
        </w:tc>
        <w:tc>
          <w:tcPr>
            <w:tcW w:type="dxa" w:w="5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L1A（資金型）</w:t>
            </w:r>
          </w:p>
        </w:tc>
        <w:tc>
          <w:tcPr>
            <w:tcW w:type="dxa" w:w="5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L1B（市場型・雙重利益）</w:t>
            </w:r>
          </w:p>
        </w:tc>
      </w:tr>
      <w:tr>
        <w:tc>
          <w:tcPr>
            <w:tcW w:type="dxa" w:w="3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21"/>
                <w:szCs w:val="21"/>
              </w:rPr>
              <w:t xml:space="preserve">進入條件</w:t>
            </w:r>
          </w:p>
        </w:tc>
        <w:tc>
          <w:tcPr>
            <w:tcW w:type="dxa" w:w="5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直接投入1,000U（其中500U為L循環基準入口，餘500U另行處理，見下方說明）</w:t>
            </w:r>
          </w:p>
        </w:tc>
        <w:tc>
          <w:tcPr>
            <w:tcW w:type="dxa" w:w="5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完成5名有效直推＋直推網5,000U業績，以500U啟動</w:t>
            </w:r>
          </w:p>
        </w:tc>
      </w:tr>
      <w:tr>
        <w:tc>
          <w:tcPr>
            <w:tcW w:type="dxa" w:w="3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21"/>
                <w:szCs w:val="21"/>
              </w:rPr>
              <w:t xml:space="preserve">取得資格</w:t>
            </w:r>
          </w:p>
        </w:tc>
        <w:tc>
          <w:tcPr>
            <w:tcW w:type="dxa" w:w="5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循環參與權，加入L1–L9三三循環</w:t>
            </w:r>
          </w:p>
        </w:tc>
        <w:tc>
          <w:tcPr>
            <w:tcW w:type="dxa" w:w="5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循環參與權＋PN4及以上20%領導人每日分紅權</w:t>
            </w:r>
          </w:p>
        </w:tc>
      </w:tr>
      <w:tr>
        <w:tc>
          <w:tcPr>
            <w:tcW w:type="dxa" w:w="3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21"/>
                <w:szCs w:val="21"/>
              </w:rPr>
              <w:t xml:space="preserve">PN升級利潤分成</w:t>
            </w:r>
          </w:p>
        </w:tc>
        <w:tc>
          <w:tcPr>
            <w:tcW w:type="dxa" w:w="5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無</w:t>
            </w:r>
          </w:p>
        </w:tc>
        <w:tc>
          <w:tcPr>
            <w:tcW w:type="dxa" w:w="5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有，按20%領導人每日分紅池分配</w:t>
            </w:r>
          </w:p>
        </w:tc>
      </w:tr>
      <w:tr>
        <w:tc>
          <w:tcPr>
            <w:tcW w:type="dxa" w:w="3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21"/>
                <w:szCs w:val="21"/>
              </w:rPr>
              <w:t xml:space="preserve">計入L循環有效序號</w:t>
            </w:r>
          </w:p>
        </w:tc>
        <w:tc>
          <w:tcPr>
            <w:tcW w:type="dxa" w:w="5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是</w:t>
            </w:r>
          </w:p>
        </w:tc>
        <w:tc>
          <w:tcPr>
            <w:tcW w:type="dxa" w:w="5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是</w:t>
            </w:r>
          </w:p>
        </w:tc>
      </w:tr>
      <w:tr>
        <w:tc>
          <w:tcPr>
            <w:tcW w:type="dxa" w:w="36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21"/>
                <w:szCs w:val="21"/>
              </w:rPr>
              <w:t xml:space="preserve">是否稀釋對方每日分紅</w:t>
            </w:r>
          </w:p>
        </w:tc>
        <w:tc>
          <w:tcPr>
            <w:tcW w:type="dxa" w:w="5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否，不計入分紅人數</w:t>
            </w:r>
          </w:p>
        </w:tc>
        <w:tc>
          <w:tcPr>
            <w:tcW w:type="dxa" w:w="54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不適用（自身即為分紅對象）</w:t>
            </w:r>
          </w:p>
        </w:tc>
      </w:tr>
    </w:tbl>
    <w:p>
      <w:pPr>
        <w:spacing w:after="160" w:line="340"/>
      </w:pPr>
      <w:r>
        <w:rPr>
          <w:rFonts w:ascii="Microsoft JhengHei" w:cs="Microsoft JhengHei" w:eastAsia="Microsoft JhengHei" w:hAnsi="Microsoft JhengHei"/>
          <w:b w:val="false"/>
          <w:bCs w:val="false"/>
          <w:i w:val="false"/>
          <w:iCs w:val="false"/>
          <w:color w:val="1F2937"/>
          <w:sz w:val="22"/>
          <w:szCs w:val="22"/>
        </w:rPr>
        <w:t xml:space="preserve">20%領導人每日分紅僅由L1B享有：所有PN4及以上會員，每次產生本級可提現升級收入時，已於PN0–PN20升級表中提取20%進入L1B領導人分紅池，該分紅池每日結算一次，只由當日有效的L1B平均分配；每日每名L1B分紅＝當日20%分紅池÷當日有效L1B人數。L1A即使投入1,000U，也不稀釋L1B的每日分紅，亦不計入分紅人數。</w:t>
      </w:r>
    </w:p>
    <w:p>
      <w:pPr>
        <w:spacing w:after="220" w:before="120"/>
      </w:pPr>
      <w:r>
        <w:rPr>
          <w:rFonts w:ascii="Microsoft JhengHei" w:cs="Microsoft JhengHei" w:eastAsia="Microsoft JhengHei" w:hAnsi="Microsoft JhengHei"/>
          <w:b w:val="false"/>
          <w:bCs w:val="false"/>
          <w:i/>
          <w:iCs/>
          <w:color w:val="6B7280"/>
          <w:sz w:val="20"/>
          <w:szCs w:val="20"/>
        </w:rPr>
        <w:t xml:space="preserve">L1A直接投入之1,000U中，僅500U列為L1基準入口參與L循環；餘500U累計進入「幸運數字猜獎池」，該獎池另訂規則公布，不在本升級制度範圍內。</w:t>
      </w:r>
    </w:p>
    <w:p>
      <w:pPr>
        <w:spacing w:after="160" w:before="300"/>
      </w:pPr>
      <w:r>
        <w:rPr>
          <w:rFonts w:ascii="Microsoft JhengHei" w:cs="Microsoft JhengHei" w:eastAsia="Microsoft JhengHei" w:hAnsi="Microsoft JhengHei"/>
          <w:b/>
          <w:bCs/>
          <w:i w:val="false"/>
          <w:iCs w:val="false"/>
          <w:color w:val="B91C1C"/>
          <w:sz w:val="26"/>
          <w:szCs w:val="26"/>
        </w:rPr>
        <w:t xml:space="preserve">L1–L9三三序號升級計算表</w:t>
      </w:r>
    </w:p>
    <w:p>
      <w:pPr>
        <w:spacing w:after="160" w:line="340"/>
      </w:pPr>
      <w:r>
        <w:rPr>
          <w:rFonts w:ascii="Microsoft JhengHei" w:cs="Microsoft JhengHei" w:eastAsia="Microsoft JhengHei" w:hAnsi="Microsoft JhengHei"/>
          <w:b w:val="false"/>
          <w:bCs w:val="false"/>
          <w:i w:val="false"/>
          <w:iCs w:val="false"/>
          <w:color w:val="1F2937"/>
          <w:sz w:val="22"/>
          <w:szCs w:val="22"/>
        </w:rPr>
        <w:t xml:space="preserve">L1A與L1B產生的有效L循環位置均按實際進入序號排列，共同推動L三三循環；L1是直接進入級別，不要求下級，從L2起每新增3個有效位置即推動前一級升級，依3、9、27……三三序號擴展至L9；每級收到3筆同級升級款後，先預留下一級升級款，剩餘部分成為本級可提現收入。</w:t>
      </w:r>
    </w:p>
    <w:tbl>
      <w:tblPr>
        <w:tblW w:type="dxa" w:w="14400"/>
        <w:tblBorders>
          <w:top w:val="single" w:sz="6" w:space="0" w:color="C98A2E"/>
          <w:left w:val="single" w:sz="6" w:space="0" w:color="C98A2E"/>
          <w:bottom w:val="single" w:sz="6" w:space="0" w:color="C98A2E"/>
          <w:right w:val="single" w:sz="6" w:space="0" w:color="C98A2E"/>
          <w:insideH w:val="single" w:sz="6" w:space="0" w:color="C98A2E"/>
          <w:insideV w:val="single" w:sz="6" w:space="0" w:color="C98A2E"/>
        </w:tblBorders>
      </w:tblPr>
      <w:tblGrid>
        <w:gridCol w:w="1200"/>
        <w:gridCol w:w="1800"/>
        <w:gridCol w:w="1800"/>
        <w:gridCol w:w="1800"/>
        <w:gridCol w:w="1800"/>
        <w:gridCol w:w="1800"/>
        <w:gridCol w:w="2100"/>
        <w:gridCol w:w="2100"/>
      </w:tblGrid>
      <w:tr>
        <w:trPr>
          <w:tblHeader/>
        </w:trPr>
        <w:tc>
          <w:tcPr>
            <w:tcW w:type="dxa" w:w="12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級別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本級升級款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本層新增有效位置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累計有效位置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3人產生資金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下一級預留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本級可提現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1F3B73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/>
                <w:i w:val="false"/>
                <w:iCs w:val="false"/>
                <w:color w:val="FFE9AD"/>
                <w:sz w:val="21"/>
                <w:szCs w:val="21"/>
              </w:rPr>
              <w:t xml:space="preserve">累計可提現</w:t>
            </w:r>
          </w:p>
        </w:tc>
      </w:tr>
      <w:tr>
        <w:tc>
          <w:tcPr>
            <w:tcW w:type="dxa" w:w="12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21"/>
                <w:szCs w:val="21"/>
              </w:rPr>
              <w:t xml:space="preserve">L1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500U基準入口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0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—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—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—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—</w:t>
            </w:r>
          </w:p>
        </w:tc>
      </w:tr>
      <w:tr>
        <w:tc>
          <w:tcPr>
            <w:tcW w:type="dxa" w:w="12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21"/>
                <w:szCs w:val="21"/>
              </w:rPr>
              <w:t xml:space="preserve">L2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1,000U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1,500U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1,000U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500U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500U</w:t>
            </w:r>
          </w:p>
        </w:tc>
      </w:tr>
      <w:tr>
        <w:tc>
          <w:tcPr>
            <w:tcW w:type="dxa" w:w="12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21"/>
                <w:szCs w:val="21"/>
              </w:rPr>
              <w:t xml:space="preserve">L3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1,800U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13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3,000U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1,800U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1,200U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1,700U</w:t>
            </w:r>
          </w:p>
        </w:tc>
      </w:tr>
      <w:tr>
        <w:tc>
          <w:tcPr>
            <w:tcW w:type="dxa" w:w="12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21"/>
                <w:szCs w:val="21"/>
              </w:rPr>
              <w:t xml:space="preserve">L4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4,000U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27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40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5,400U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4,000U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1,400U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3,100U</w:t>
            </w:r>
          </w:p>
        </w:tc>
      </w:tr>
      <w:tr>
        <w:tc>
          <w:tcPr>
            <w:tcW w:type="dxa" w:w="12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21"/>
                <w:szCs w:val="21"/>
              </w:rPr>
              <w:t xml:space="preserve">L5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8,000U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81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121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12,000U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8,000U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4,000U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7,100U</w:t>
            </w:r>
          </w:p>
        </w:tc>
      </w:tr>
      <w:tr>
        <w:tc>
          <w:tcPr>
            <w:tcW w:type="dxa" w:w="12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21"/>
                <w:szCs w:val="21"/>
              </w:rPr>
              <w:t xml:space="preserve">L6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18,000U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243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364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24,000U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18,000U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6,000U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13,100U</w:t>
            </w:r>
          </w:p>
        </w:tc>
      </w:tr>
      <w:tr>
        <w:tc>
          <w:tcPr>
            <w:tcW w:type="dxa" w:w="12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21"/>
                <w:szCs w:val="21"/>
              </w:rPr>
              <w:t xml:space="preserve">L7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40,000U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729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1,093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54,000U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40,000U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14,000U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27,100U</w:t>
            </w:r>
          </w:p>
        </w:tc>
      </w:tr>
      <w:tr>
        <w:tc>
          <w:tcPr>
            <w:tcW w:type="dxa" w:w="12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21"/>
                <w:szCs w:val="21"/>
              </w:rPr>
              <w:t xml:space="preserve">L8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80,000U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2,187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3,280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120,000U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80,000U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40,000U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FFFFFF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67,100U</w:t>
            </w:r>
          </w:p>
        </w:tc>
      </w:tr>
      <w:tr>
        <w:tc>
          <w:tcPr>
            <w:tcW w:type="dxa" w:w="12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/>
                <w:bCs w:val="false"/>
                <w:i w:val="false"/>
                <w:iCs w:val="false"/>
                <w:color w:val="0E2F7A"/>
                <w:sz w:val="21"/>
                <w:szCs w:val="21"/>
              </w:rPr>
              <w:t xml:space="preserve">L9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140,000U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6,561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9,841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240,000U</w:t>
            </w:r>
          </w:p>
        </w:tc>
        <w:tc>
          <w:tcPr>
            <w:tcW w:type="dxa" w:w="18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140,000U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100,000U</w:t>
            </w:r>
          </w:p>
        </w:tc>
        <w:tc>
          <w:tcPr>
            <w:tcW w:type="dxa" w:w="2100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  <w:shd w:val="clear" w:color="auto" w:fill="DCEAFB"/>
          </w:tcPr>
          <w:p>
            <w:pPr>
              <w:jc w:val="center"/>
            </w:pPr>
            <w:r>
              <w:rPr>
                <w:rFonts w:ascii="Microsoft JhengHei" w:cs="Microsoft JhengHei" w:eastAsia="Microsoft JhengHei" w:hAnsi="Microsoft JhengHei"/>
                <w:b w:val="0"/>
                <w:bCs w:val="false"/>
                <w:i w:val="false"/>
                <w:iCs w:val="false"/>
                <w:color w:val="0D2143"/>
                <w:sz w:val="21"/>
                <w:szCs w:val="21"/>
              </w:rPr>
              <w:t xml:space="preserve">167,100U</w:t>
            </w:r>
          </w:p>
        </w:tc>
      </w:tr>
    </w:tbl>
    <w:p>
      <w:pPr>
        <w:spacing w:after="220" w:before="120"/>
      </w:pPr>
      <w:r>
        <w:rPr>
          <w:rFonts w:ascii="Microsoft JhengHei" w:cs="Microsoft JhengHei" w:eastAsia="Microsoft JhengHei" w:hAnsi="Microsoft JhengHei"/>
          <w:b w:val="false"/>
          <w:bCs w:val="false"/>
          <w:i/>
          <w:iCs/>
          <w:color w:val="6B7280"/>
          <w:sz w:val="20"/>
          <w:szCs w:val="20"/>
        </w:rPr>
        <w:t xml:space="preserve">L1A與L1B皆計入L循環有效序號，共同推動L2–L9形成；但僅L1B分享20%每日領導人分紅，L1A不稀釋、也不參與分享。</w:t>
      </w:r>
    </w:p>
    <w:p>
      <w:pPr>
        <w:spacing w:after="200"/>
      </w:pPr>
    </w:p>
    <w:p>
      <w:pPr>
        <w:pBdr>
          <w:top w:val="single" w:color="D4AF37" w:sz="8" w:space="8"/>
        </w:pBdr>
        <w:spacing w:after="40" w:before="200"/>
        <w:jc w:val="center"/>
      </w:pPr>
      <w:r>
        <w:rPr>
          <w:rFonts w:ascii="Microsoft JhengHei" w:cs="Microsoft JhengHei" w:eastAsia="Microsoft JhengHei" w:hAnsi="Microsoft JhengHei"/>
          <w:b/>
          <w:bCs/>
          <w:i w:val="false"/>
          <w:iCs w:val="false"/>
          <w:color w:val="B91C1C"/>
          <w:sz w:val="22"/>
          <w:szCs w:val="22"/>
        </w:rPr>
        <w:t>PN CHARITY MUTUAL AID</w:t>
      </w:r>
    </w:p>
    <w:p>
      <w:pPr>
        <w:jc w:val="center"/>
      </w:pPr>
      <w:r>
        <w:rPr>
          <w:rFonts w:ascii="Microsoft JhengHei" w:cs="Microsoft JhengHei" w:eastAsia="Microsoft JhengHei" w:hAnsi="Microsoft JhengHei"/>
          <w:b w:val="false"/>
          <w:bCs w:val="false"/>
          <w:i w:val="false"/>
          <w:iCs w:val="false"/>
          <w:color w:val="B8860B"/>
          <w:sz w:val="20"/>
          <w:szCs w:val="20"/>
        </w:rPr>
        <w:t xml:space="preserve">慈善・互助・共贏・未來</w:t>
      </w:r>
    </w:p>
    <w:sectPr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2026-09-14T11:05:40.834Z</dcterms:created>
  <dcterms:modified xsi:type="dcterms:W3CDTF">2026-09-14T11:05:40.834Z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